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滁州学院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体育学院</w:t>
      </w:r>
      <w:r>
        <w:rPr>
          <w:rFonts w:hint="eastAsia" w:ascii="宋体" w:hAnsi="宋体" w:cs="宋体"/>
          <w:b/>
          <w:sz w:val="32"/>
          <w:szCs w:val="32"/>
        </w:rPr>
        <w:t>采购技术参数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7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28"/>
        <w:gridCol w:w="615"/>
        <w:gridCol w:w="615"/>
        <w:gridCol w:w="5381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5381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主要技术参数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排球架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5381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.二立柱选用直径φ</w:t>
            </w:r>
            <w:r>
              <w:rPr>
                <w:rFonts w:ascii="宋体" w:hAnsi="宋体"/>
                <w:color w:val="000000" w:themeColor="text1"/>
                <w:szCs w:val="21"/>
              </w:rPr>
              <w:t>76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×</w:t>
            </w: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毫米的无缝钢管制作，内置一对互成90度的斜齿轮，配梯形螺纹的螺杆升降机构，使钢管内立柱上下移动，实现网高调节范围：2150-2550mm。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.二立柱中，一立柱上置有网钩，另一立柱上置有棘爪紧线锁紧机构，通过调节手柄调节钢丝绳的松紧，从而实现网的高度要求。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.排球柱底座外壳采用P</w:t>
            </w:r>
            <w:r>
              <w:rPr>
                <w:rFonts w:ascii="宋体" w:hAnsi="宋体"/>
                <w:color w:val="000000" w:themeColor="text1"/>
                <w:szCs w:val="21"/>
              </w:rPr>
              <w:t>E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中空吹塑，环保性能</w:t>
            </w:r>
            <w:r>
              <w:rPr>
                <w:rFonts w:hint="eastAsia" w:ascii="宋体" w:hAnsi="宋体"/>
                <w:color w:val="000000" w:themeColor="text1"/>
              </w:rPr>
              <w:t>依据GB/T31402-2015对大肠杆菌、金黄色葡萄球菌抗菌率达到99.9%以上。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★4、底部配有防滑、防震垫，增强底座的稳定性，单只配置配重228kg，配置移动小车即可移走排球柱至存放地点，拆装移动方便。脚轮极限承载力≥</w:t>
            </w:r>
            <w:r>
              <w:rPr>
                <w:rFonts w:ascii="宋体" w:hAnsi="宋体"/>
                <w:color w:val="000000" w:themeColor="text1"/>
                <w:szCs w:val="21"/>
              </w:rPr>
              <w:t>2000kg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5.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排球柱配备有裁判椅，裁判椅及立柱外表包裹特殊材料的防护套，能有效保护好运动员的安全。喷胶有毒有害物质符合HJ2541-2016《环境标志产品技术要求胶粘剂》要求，总挥发性有机物≤400g/L，游离甲醛、丙酮、甲苯+二甲苯、苯、卤代烃等有害物质未检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6.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产品所有器材均在全自动喷涂流水线上作业，经抛丸——脱脂——水洗——无磷转化——水洗——烘干——静电粉末——固化等过程。表面涂层环保：【镉、铅、汞、六价铬、多溴联苯(PBBs)、多溴二苯醚(PBDEs)、邻苯二甲酸酯（如邻苯二甲酸二丁酯 (DBP)、邻苯二甲酸丁苄 酯(BBP)、邻苯二甲酸二(2-乙基已基)酯(DEHP)和邻苯二甲酸二异丁酯(DIBP)】的测试结果符合要求。光紫外线暴露时间≥500H，表面无可见粉化、起泡、开裂和剥落现象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球类收纳箱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381" w:type="dxa"/>
            <w:vAlign w:val="center"/>
          </w:tcPr>
          <w:p>
            <w:pPr>
              <w:numPr>
                <w:ilvl w:val="0"/>
                <w:numId w:val="0"/>
              </w:numPr>
              <w:ind w:leftChars="0" w:firstLine="48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材质：不锈钢 大号 尺寸：长90cm*宽80cm*高80cm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可调式双杠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381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1、双杠杠面尺寸：长x横截面=3500x（50x40）MM，杠面采用复合玻璃钢材料在专用模具上经特殊加工而成，其杠面有一定的弹性与韧性，且杠面表面具有较好的手感性。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2、双杠四柱脚为精密铸件，高300mm，柱脚上端设有限位装置且增设锁紧套。柱脚与柱筒连接，柱筒内立柱每50mm设一调节档，杠面高度调节范围：1700—2050MM之间。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3、底座尺寸：长X宽=2400x1300（mm），底座采用δ6的优质钢板压制成型，通过螺栓联成“井”字形结构，便于拆装，底座下设置有橡胶垫块，保持产品在使用过程中有良好的平衡性和抗震性。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4、双杠两杠面间距可调，杠面直度≤2mm。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5、双杠外管采用φ60x4无缝管制作，内立柱为Φ50优质圆钢，表面经热镀锌处理。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6、双杠配备的移动小车利用偏心原理，其偏心挂钩钩住底座腰形孔，将手把向下轻压至底座上，双杠整体向上，只需一人手握杠面即可轻推双杠移动。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7、产品具有耐酸碱、耐湿热、抗老化、外观美观等优点，能适合潮湿和酸雨环境，且产品涂料配方不含有毒元素，避免损害使用者的健康。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跳箱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381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1、第一级箱面用光滑的人造革包以海绵和泡沫塑料成弧形，每级箱体组合用4根20x20的木条插接，每级衔接平整、紧凑，组合后的总长尺寸为1300mm，高度为1250mm，底宽780mm,上宽380mm。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、箱体材料均用20mm厚的层压板，表面作漆层处理。甲醛释放限量≤1</w:t>
            </w:r>
            <w:r>
              <w:rPr>
                <w:rFonts w:ascii="宋体" w:hAnsi="宋体"/>
                <w:color w:val="000000" w:themeColor="text1"/>
                <w:szCs w:val="21"/>
              </w:rPr>
              <w:t>.5mg/L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，符合 </w:t>
            </w:r>
            <w:r>
              <w:rPr>
                <w:rFonts w:ascii="宋体" w:hAnsi="宋体"/>
                <w:color w:val="000000" w:themeColor="text1"/>
                <w:szCs w:val="21"/>
              </w:rPr>
              <w:t>GB 18584-2001《室内装饰装修材料 木家具中有害物质限量》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规范要求。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、层压板阻燃符合：G</w:t>
            </w:r>
            <w:r>
              <w:rPr>
                <w:rFonts w:ascii="宋体" w:hAnsi="宋体"/>
                <w:color w:val="000000" w:themeColor="text1"/>
                <w:szCs w:val="21"/>
              </w:rPr>
              <w:t>B8624-2012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《建筑材料及制品燃烧性能分析》测试结果符合B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级要求。G</w:t>
            </w:r>
            <w:r>
              <w:rPr>
                <w:rFonts w:ascii="宋体" w:hAnsi="宋体"/>
                <w:color w:val="000000" w:themeColor="text1"/>
                <w:szCs w:val="21"/>
              </w:rPr>
              <w:t>B/T8626-2007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《建筑材料可燃性试验方法》</w:t>
            </w:r>
            <w:r>
              <w:rPr>
                <w:rFonts w:ascii="宋体" w:hAnsi="宋体"/>
                <w:color w:val="000000" w:themeColor="text1"/>
                <w:szCs w:val="21"/>
              </w:rPr>
              <w:t>60s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过滤纸没有被引燃。G</w:t>
            </w:r>
            <w:r>
              <w:rPr>
                <w:rFonts w:ascii="宋体" w:hAnsi="宋体"/>
                <w:color w:val="000000" w:themeColor="text1"/>
                <w:szCs w:val="21"/>
              </w:rPr>
              <w:t>B/T20284-2006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《建筑材料或制品的单体燃烧试验》</w:t>
            </w:r>
            <w:r>
              <w:rPr>
                <w:rFonts w:ascii="宋体" w:hAnsi="宋体"/>
                <w:color w:val="000000" w:themeColor="text1"/>
                <w:szCs w:val="21"/>
              </w:rPr>
              <w:t>600s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内燃烧无滴落物/颗粒。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．海绵: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1）主要成分检测：参照 GB/T 6040-2002《红外光谱分析方法通则》参照 JY/T 001-1996《傅里叶变换红外光谱方法通则》。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2）海绵密度≥45</w:t>
            </w:r>
            <w:r>
              <w:rPr>
                <w:rFonts w:ascii="宋体" w:hAnsi="宋体"/>
                <w:color w:val="000000" w:themeColor="text1"/>
                <w:szCs w:val="21"/>
              </w:rPr>
              <w:t>kg/m3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：参照 GB/T 6343-2009《泡沫塑料及橡胶 表观密度的测定》。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3）海绵回弹率≥45%，检测方法:参照 GB/T 6670-2008《软质泡沫聚合材料 落球法回弹性能的测定》，方法 A。钢球直径:16.5cm，下落高度:500 cm;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4）、压缩永久变形4%，检测方法:参照 GBT 6669-2008《软质泡沫聚合材料 压缩永久变形的测定》试验过程: 将样品切成25 mm 厚、长、宽为50 mm 的样品，压缩率75 %，置于70 C烘箱中保持22 h。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、海绵阻燃符合：E</w:t>
            </w:r>
            <w:r>
              <w:rPr>
                <w:rFonts w:ascii="宋体" w:hAnsi="宋体"/>
                <w:color w:val="000000" w:themeColor="text1"/>
                <w:szCs w:val="21"/>
              </w:rPr>
              <w:t>N1021-1:2014(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阴燃烟卷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不可燃。E</w:t>
            </w:r>
            <w:r>
              <w:rPr>
                <w:rFonts w:ascii="宋体" w:hAnsi="宋体"/>
                <w:color w:val="000000" w:themeColor="text1"/>
                <w:szCs w:val="21"/>
              </w:rPr>
              <w:t>N1021-2:2014(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匹配相等的火焰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不可燃。大气条件2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°</w:t>
            </w:r>
            <w:r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和5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ascii="宋体" w:hAnsi="宋体"/>
                <w:color w:val="000000" w:themeColor="text1"/>
                <w:szCs w:val="21"/>
              </w:rPr>
              <w:t>5%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相对湿度，至少2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小时。</w:t>
            </w:r>
          </w:p>
          <w:p>
            <w:pPr>
              <w:ind w:firstLine="420" w:firstLineChars="200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、产品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符合G</w:t>
            </w:r>
            <w:r>
              <w:rPr>
                <w:rFonts w:ascii="仿宋" w:hAnsi="仿宋" w:eastAsia="仿宋"/>
                <w:color w:val="000000" w:themeColor="text1"/>
                <w:szCs w:val="21"/>
              </w:rPr>
              <w:t>B/T24021-2001 idt ISO14021:1999 II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型环保认证。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注：★提供跳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箱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制造商认证证书或检测报告复印件。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金属标枪600克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5381" w:type="dxa"/>
            <w:vAlign w:val="center"/>
          </w:tcPr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结构：标枪由钢制枪头、LC4铝合金枪身和全棉缠绳把手三部分组成。枪身无凹凸、沟槽、突脊、空洞、粗糙等现象，表面光滑、均匀一致。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把手：包绕重心，棉绳直径≤4mm，把手表面为规则的不光滑型，无任何的绳头、结节或呈锯齿形，把手厚度均匀。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枪身：采用镟锻工艺变形，保持了原材料组织结构，使用中不易断裂。枪身从把手处规则地向两端变细，平滑过度。枪身表面喷漆为单色或多色。 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纵剖面直线度：纵剖面直线部分小于0.2mm；紧靠枪头与枪身结合处后面小于1.25mm。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枪尖：枪尖为钢制，经镟锻变形为一整体，具有较强硬度，表面光滑镀铬。</w:t>
            </w:r>
          </w:p>
          <w:p>
            <w:pPr>
              <w:ind w:firstLine="630" w:firstLineChars="3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6、600g标枪技术参数：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重量（g</w:t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:605～625。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长度（mm）：2200～2300。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c)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金属枪头长（mm）：250～330。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d)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枪尖至重心距（mm）：800～920。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枪身最大直径（mm）：20～25。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f)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把手宽度（mm）：140～150。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金属标枪700克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5381" w:type="dxa"/>
            <w:vAlign w:val="center"/>
          </w:tcPr>
          <w:p>
            <w:pPr>
              <w:numPr>
                <w:ilvl w:val="0"/>
                <w:numId w:val="0"/>
              </w:numPr>
              <w:ind w:left="420" w:leftChars="200"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结构：标枪由钢制枪头、LC4铝合金枪身和全棉缠绳把手三部分组成。枪身无凹凸、沟槽、突脊、空洞、粗糙等现象，表面光滑、均匀一致。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把手：包绕重心，棉绳直径≤4mm，把手表面为规则的不光滑型，无任何的绳头、结节或呈锯齿形，把手厚度均匀。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 xml:space="preserve">枪身：采用镟锻工艺变形，保持了原材料组织结构，使用中不易断裂。枪身从把手处规则地向两端变细，平滑过度。枪身表面喷漆为单色或多色。 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纵剖面直线度：纵剖面直线部分小于0.2mm；紧靠枪头与枪身结合处后面小于1.25mm。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枪尖：枪尖为钢制，经镟锻变形为一整体，具有较强硬度，表面光滑镀铬。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700g标枪技术参数：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重量（g）:705～725。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长度（mm）：2300～2400。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金属枪头长（mm）：250～330。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枪尖至重心距（mm）：860～1000。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枪身最大直径（mm）：23～28。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把手宽度（mm）：150～160。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金属标枪800克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5381" w:type="dxa"/>
            <w:vAlign w:val="center"/>
          </w:tcPr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结构：标枪由钢制枪头、LC4铝合金枪身和全棉缠绳把手三部分组成。枪身无凹凸、沟槽、突脊、空洞、粗糙等现象，表面光滑、均匀一致。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把手：包绕重心，棉绳直径≤4mm，把手表面为规则的不光滑型，无任何的绳头、结节或呈锯齿形，把手厚度均匀。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枪身：采用镟锻工艺变形，保持了原材料组织结构，使用中不易断裂。枪身从把手处规则地向两端变细，平滑过度。枪身表面喷漆为单色或多色。 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纵剖面直线度：纵剖面直线部分小于0.2mm；紧靠枪头与枪身结合处后面小于1.25mm。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枪尖：枪尖为钢制，经镟锻变形为一整体，具有较强硬度，表面光滑镀铬。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技术指标依据：GB/22765-2008标准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重量（g）:805～825。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长度（mm）：2600～2700。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金属枪头长（mm）：250～330。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枪尖至中心距离（mm）：1540～1800。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枪身最大直径（mm）：29～30。</w:t>
            </w:r>
          </w:p>
          <w:p>
            <w:pPr>
              <w:numPr>
                <w:ilvl w:val="0"/>
                <w:numId w:val="0"/>
              </w:numPr>
              <w:ind w:left="420" w:leftChars="200" w:firstLine="210" w:firstLineChars="10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把手宽度（mm）：150～160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跳远垫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5381" w:type="dxa"/>
            <w:vAlign w:val="center"/>
          </w:tcPr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1.防火燃烧性能B1级，20s内焰尖高度≤150mm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2. 耐磨性T级，体积损失≤2.0mm³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3. 防滑性(湿法)≥0.6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4. ★提供28天后甲苯、乙苯释放量≤50μg/m³的检测报告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5. ★耐酸耐碱老化≥4000h，耐磨性：磨耗量平均值≤0.5g，氯乙烯单体未检出。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6. ★耐人工气候（透过玻璃）老化≥3000h，外观不准许有裂纹，达到耐污染性0级。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 xml:space="preserve">评审依据：为保障响应资料的真实合法性，★项需提供带“CMA”标志的检测报告,并附带国家认证认可监督管理委员会官网（www.cnca.gov.cn）查询截图，加盖制造商鲜章进行佐证，不满足或未提供按无效响应处理。     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851" w:right="1416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xMGUxZDI1NTZiNWU4ZWJlYTEyZTM1MDdlMjYwNGUifQ=="/>
  </w:docVars>
  <w:rsids>
    <w:rsidRoot w:val="00AC13EE"/>
    <w:rsid w:val="00044A01"/>
    <w:rsid w:val="000C72FD"/>
    <w:rsid w:val="00144F74"/>
    <w:rsid w:val="001A1660"/>
    <w:rsid w:val="001F1CB5"/>
    <w:rsid w:val="00236A3D"/>
    <w:rsid w:val="00291FBD"/>
    <w:rsid w:val="00333253"/>
    <w:rsid w:val="00423C61"/>
    <w:rsid w:val="00441FBE"/>
    <w:rsid w:val="004B43BF"/>
    <w:rsid w:val="004D62C7"/>
    <w:rsid w:val="005055F4"/>
    <w:rsid w:val="00535FDD"/>
    <w:rsid w:val="00573051"/>
    <w:rsid w:val="0061007A"/>
    <w:rsid w:val="00694E67"/>
    <w:rsid w:val="006D4989"/>
    <w:rsid w:val="007A5165"/>
    <w:rsid w:val="007A7A07"/>
    <w:rsid w:val="0089433B"/>
    <w:rsid w:val="0091311E"/>
    <w:rsid w:val="0094436B"/>
    <w:rsid w:val="00950240"/>
    <w:rsid w:val="00973A70"/>
    <w:rsid w:val="009A6630"/>
    <w:rsid w:val="00A2282C"/>
    <w:rsid w:val="00AC13EE"/>
    <w:rsid w:val="00B05B13"/>
    <w:rsid w:val="00B14C49"/>
    <w:rsid w:val="00CC33C8"/>
    <w:rsid w:val="00D62008"/>
    <w:rsid w:val="00DC20BB"/>
    <w:rsid w:val="00E47323"/>
    <w:rsid w:val="00E91250"/>
    <w:rsid w:val="00EA2EFD"/>
    <w:rsid w:val="00EC2342"/>
    <w:rsid w:val="00F85C9D"/>
    <w:rsid w:val="043E1D83"/>
    <w:rsid w:val="05087233"/>
    <w:rsid w:val="0C873133"/>
    <w:rsid w:val="0D0504FC"/>
    <w:rsid w:val="0D892EDB"/>
    <w:rsid w:val="0E7A72C9"/>
    <w:rsid w:val="0EDD734A"/>
    <w:rsid w:val="0F9242C9"/>
    <w:rsid w:val="182203C3"/>
    <w:rsid w:val="24066BDB"/>
    <w:rsid w:val="26BE379D"/>
    <w:rsid w:val="280B2A12"/>
    <w:rsid w:val="2A0A1DF6"/>
    <w:rsid w:val="2A355B25"/>
    <w:rsid w:val="2BC52ED8"/>
    <w:rsid w:val="2DA24D4F"/>
    <w:rsid w:val="2E516CA5"/>
    <w:rsid w:val="2FD96459"/>
    <w:rsid w:val="35BD3398"/>
    <w:rsid w:val="3671697E"/>
    <w:rsid w:val="399973AB"/>
    <w:rsid w:val="3E1D4DF6"/>
    <w:rsid w:val="3E886713"/>
    <w:rsid w:val="43FC6A38"/>
    <w:rsid w:val="46B65365"/>
    <w:rsid w:val="4AC23442"/>
    <w:rsid w:val="4E4A12EF"/>
    <w:rsid w:val="4F4246BC"/>
    <w:rsid w:val="5051678E"/>
    <w:rsid w:val="506F4906"/>
    <w:rsid w:val="532B5388"/>
    <w:rsid w:val="534F1156"/>
    <w:rsid w:val="56EA7B13"/>
    <w:rsid w:val="576176AA"/>
    <w:rsid w:val="58866273"/>
    <w:rsid w:val="5DDE3802"/>
    <w:rsid w:val="5DE20AFB"/>
    <w:rsid w:val="63E229C2"/>
    <w:rsid w:val="6CC938CF"/>
    <w:rsid w:val="6E276AFF"/>
    <w:rsid w:val="6EA36ACE"/>
    <w:rsid w:val="70495453"/>
    <w:rsid w:val="70923895"/>
    <w:rsid w:val="720535FB"/>
    <w:rsid w:val="732950C8"/>
    <w:rsid w:val="780248DA"/>
    <w:rsid w:val="7AA80FC8"/>
    <w:rsid w:val="7C907F65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17</Lines>
  <Paragraphs>4</Paragraphs>
  <TotalTime>2</TotalTime>
  <ScaleCrop>false</ScaleCrop>
  <LinksUpToDate>false</LinksUpToDate>
  <CharactersWithSpaces>308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2022-11-29T01:07:00Z</dcterms:created>
  <dc:creator>hp</dc:creator>
  <cp:lastModifiedBy>社工</cp:lastModifiedBy>
  <dcterms:modified xsi:type="dcterms:W3CDTF">2024-03-12T00:57:41Z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1A9341B7118D4B01A60BD13F5D1C7FD2</vt:lpwstr>
  </property>
</Properties>
</file>